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182" w:firstLineChars="494"/>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霸州市南孟镇人民政府</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南孟镇</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rPr>
        <w:t>镇党委、政府处于领导农业和农村工作的第一线，承担着建设社会主义新农村的光荣使命。</w:t>
      </w:r>
    </w:p>
    <w:p>
      <w:pPr>
        <w:ind w:firstLine="640" w:firstLineChars="200"/>
        <w:rPr>
          <w:rFonts w:ascii="仿宋_GB2312" w:eastAsia="仿宋_GB2312"/>
          <w:sz w:val="32"/>
          <w:szCs w:val="32"/>
        </w:rPr>
      </w:pPr>
      <w:r>
        <w:rPr>
          <w:rFonts w:hint="eastAsia" w:ascii="仿宋_GB2312" w:eastAsia="仿宋_GB2312"/>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Pr>
          <w:rFonts w:ascii="仿宋_GB2312" w:eastAsia="仿宋_GB2312"/>
          <w:sz w:val="32"/>
          <w:szCs w:val="32"/>
        </w:rPr>
        <w:t>“</w:t>
      </w:r>
      <w:r>
        <w:rPr>
          <w:rFonts w:hint="eastAsia" w:ascii="仿宋_GB2312" w:eastAsia="仿宋_GB2312"/>
          <w:sz w:val="32"/>
          <w:szCs w:val="32"/>
        </w:rPr>
        <w:t>两个文明</w:t>
      </w:r>
      <w:r>
        <w:rPr>
          <w:rFonts w:ascii="仿宋_GB2312" w:eastAsia="仿宋_GB2312"/>
          <w:sz w:val="32"/>
          <w:szCs w:val="32"/>
        </w:rPr>
        <w:t>”</w:t>
      </w:r>
      <w:r>
        <w:rPr>
          <w:rFonts w:hint="eastAsia" w:ascii="仿宋_GB2312" w:eastAsia="仿宋_GB2312"/>
          <w:sz w:val="32"/>
          <w:szCs w:val="32"/>
        </w:rPr>
        <w:t>建设，加强对全镇各项工作的统一领导，充分发挥总揽全局、协调各方的领导核心作用。</w:t>
      </w:r>
    </w:p>
    <w:p>
      <w:pPr>
        <w:ind w:firstLine="640" w:firstLineChars="200"/>
        <w:rPr>
          <w:rFonts w:ascii="仿宋_GB2312" w:eastAsia="仿宋_GB2312"/>
          <w:sz w:val="32"/>
          <w:szCs w:val="32"/>
        </w:rPr>
      </w:pPr>
      <w:r>
        <w:rPr>
          <w:rFonts w:hint="eastAsia" w:ascii="仿宋_GB2312" w:eastAsia="仿宋_GB2312"/>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Pr>
          <w:rFonts w:ascii="仿宋_GB2312" w:eastAsia="仿宋_GB2312"/>
          <w:sz w:val="32"/>
          <w:szCs w:val="32"/>
        </w:rPr>
        <w:t>“</w:t>
      </w:r>
      <w:r>
        <w:rPr>
          <w:rFonts w:hint="eastAsia" w:ascii="仿宋_GB2312" w:eastAsia="仿宋_GB2312"/>
          <w:sz w:val="32"/>
          <w:szCs w:val="32"/>
        </w:rPr>
        <w:t>一盘棋</w:t>
      </w:r>
      <w:r>
        <w:rPr>
          <w:rFonts w:ascii="仿宋_GB2312" w:eastAsia="仿宋_GB2312"/>
          <w:sz w:val="32"/>
          <w:szCs w:val="32"/>
        </w:rPr>
        <w:t>”</w:t>
      </w:r>
      <w:r>
        <w:rPr>
          <w:rFonts w:hint="eastAsia" w:ascii="仿宋_GB2312" w:eastAsia="仿宋_GB2312"/>
          <w:sz w:val="32"/>
          <w:szCs w:val="32"/>
        </w:rPr>
        <w:t>相互配合。同时，规范镇政府和村级组织的工作职能作用。</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autoSpaceDE w:val="0"/>
        <w:autoSpaceDN w:val="0"/>
        <w:adjustRightInd w:val="0"/>
        <w:spacing w:after="0" w:line="560" w:lineRule="exact"/>
        <w:jc w:val="left"/>
        <w:rPr>
          <w:rFonts w:ascii="仿宋_GB2312" w:hAnsi="Cambria" w:eastAsia="仿宋_GB2312" w:cs="ArialUnicodeMS"/>
          <w:kern w:val="0"/>
          <w:sz w:val="32"/>
          <w:szCs w:val="32"/>
        </w:rPr>
      </w:pPr>
      <w:r>
        <w:rPr>
          <w:rFonts w:hint="eastAsia" w:ascii="仿宋_GB2312" w:eastAsia="仿宋_GB2312"/>
          <w:sz w:val="32"/>
          <w:szCs w:val="32"/>
        </w:rPr>
        <w:t>通过乡镇机构改革，切实减轻农村负担，让广大农民感到满意，得到实惠。</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p>
      <w:pPr>
        <w:spacing w:after="0" w:line="560" w:lineRule="exact"/>
        <w:rPr>
          <w:rFonts w:ascii="仿宋_GB2312" w:hAnsi="Cambria" w:eastAsia="仿宋_GB2312" w:cs="ArialUnicodeMS"/>
          <w:kern w:val="0"/>
          <w:sz w:val="32"/>
          <w:szCs w:val="32"/>
        </w:rPr>
      </w:pPr>
    </w:p>
    <w:tbl>
      <w:tblPr>
        <w:tblStyle w:val="12"/>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eastAsia="方正书宋_GBK"/>
                <w:sz w:val="22"/>
              </w:rPr>
              <w:t>霸州市南孟镇人民政府</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w:t>
            </w:r>
          </w:p>
        </w:tc>
        <w:tc>
          <w:tcPr>
            <w:tcW w:w="2665" w:type="dxa"/>
          </w:tcPr>
          <w:p>
            <w:pPr>
              <w:spacing w:after="0" w:line="560" w:lineRule="exact"/>
              <w:jc w:val="center"/>
              <w:rPr>
                <w:rFonts w:ascii="仿宋_GB2312" w:hAnsi="Cambria" w:eastAsia="仿宋_GB2312" w:cs="ArialUnicodeMS"/>
                <w:kern w:val="0"/>
                <w:sz w:val="28"/>
                <w:szCs w:val="28"/>
              </w:rPr>
            </w:pPr>
            <w:r>
              <w:rPr>
                <w:rFonts w:hint="eastAsia" w:eastAsia="方正书宋_GBK"/>
                <w:color w:val="000000"/>
                <w:sz w:val="22"/>
              </w:rPr>
              <w:t>财政拨款</w:t>
            </w:r>
          </w:p>
        </w:tc>
      </w:tr>
    </w:tbl>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r>
        <w:rPr>
          <w:rFonts w:hint="eastAsia" w:ascii="黑体" w:hAnsi="Cambria" w:eastAsia="黑体" w:cs="MS-UIGothic,Bold"/>
          <w:bCs/>
          <w:kern w:val="0"/>
          <w:sz w:val="52"/>
          <w:szCs w:val="52"/>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tbl>
      <w:tblPr>
        <w:tblStyle w:val="12"/>
        <w:tblW w:w="9300" w:type="dxa"/>
        <w:jc w:val="center"/>
        <w:tblInd w:w="0" w:type="dxa"/>
        <w:tblLayout w:type="fixed"/>
        <w:tblCellMar>
          <w:top w:w="0" w:type="dxa"/>
          <w:left w:w="0" w:type="dxa"/>
          <w:bottom w:w="0" w:type="dxa"/>
          <w:right w:w="0" w:type="dxa"/>
        </w:tblCellMar>
      </w:tblPr>
      <w:tblGrid>
        <w:gridCol w:w="9300"/>
      </w:tblGrid>
      <w:tr>
        <w:tblPrEx>
          <w:tblLayout w:type="fixed"/>
          <w:tblCellMar>
            <w:top w:w="0" w:type="dxa"/>
            <w:left w:w="0" w:type="dxa"/>
            <w:bottom w:w="0" w:type="dxa"/>
            <w:right w:w="0" w:type="dxa"/>
          </w:tblCellMar>
        </w:tblPrEx>
        <w:trPr>
          <w:trHeight w:val="567" w:hRule="atLeast"/>
          <w:jc w:val="center"/>
        </w:trPr>
        <w:tc>
          <w:tcPr>
            <w:tcW w:w="9300" w:type="dxa"/>
            <w:tcBorders>
              <w:top w:val="nil"/>
              <w:left w:val="nil"/>
              <w:bottom w:val="nil"/>
              <w:right w:val="nil"/>
            </w:tcBorders>
            <w:tcMar>
              <w:top w:w="15" w:type="dxa"/>
              <w:left w:w="15" w:type="dxa"/>
              <w:right w:w="15" w:type="dxa"/>
            </w:tcMar>
            <w:vAlign w:val="center"/>
          </w:tcPr>
          <w:p>
            <w:pPr>
              <w:widowControl/>
              <w:spacing w:after="0" w:line="440" w:lineRule="exact"/>
              <w:ind w:firstLine="1440" w:firstLineChars="450"/>
              <w:textAlignment w:val="center"/>
              <w:rPr>
                <w:rFonts w:ascii="黑体" w:hAnsi="宋体" w:eastAsia="黑体" w:cs="黑体"/>
                <w:color w:val="000000"/>
                <w:sz w:val="40"/>
                <w:szCs w:val="40"/>
              </w:rPr>
            </w:pPr>
            <w:r>
              <w:rPr>
                <w:rFonts w:hint="eastAsia" w:eastAsia="仿宋_GB2312"/>
                <w:sz w:val="32"/>
                <w:szCs w:val="32"/>
              </w:rPr>
              <w:t>十、政府采购情况表</w:t>
            </w:r>
          </w:p>
        </w:tc>
      </w:tr>
    </w:tbl>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snapToGrid w:val="0"/>
        <w:spacing w:line="560" w:lineRule="exact"/>
        <w:ind w:firstLine="640" w:firstLineChars="200"/>
        <w:rPr>
          <w:rFonts w:ascii="仿宋_GB2312" w:hAnsi="仿宋_GB2312" w:eastAsia="仿宋_GB2312"/>
          <w:color w:val="FF0000"/>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年度收支总计（含结转和结余）</w:t>
      </w:r>
      <w:r>
        <w:rPr>
          <w:rFonts w:ascii="仿宋_GB2312" w:eastAsia="仿宋_GB2312" w:cs="DengXian-Regular"/>
          <w:sz w:val="32"/>
          <w:szCs w:val="32"/>
        </w:rPr>
        <w:t>2373.01</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ascii="仿宋_GB2312" w:eastAsia="仿宋_GB2312" w:cs="DengXian-Regular"/>
          <w:sz w:val="32"/>
          <w:szCs w:val="32"/>
        </w:rPr>
        <w:t>487.67</w:t>
      </w:r>
      <w:r>
        <w:rPr>
          <w:rFonts w:hint="eastAsia" w:ascii="仿宋_GB2312" w:eastAsia="仿宋_GB2312" w:cs="DengXian-Regular"/>
          <w:sz w:val="32"/>
          <w:szCs w:val="32"/>
        </w:rPr>
        <w:t>万元，增长</w:t>
      </w:r>
      <w:r>
        <w:rPr>
          <w:rFonts w:ascii="仿宋_GB2312" w:eastAsia="仿宋_GB2312" w:cs="DengXian-Regular"/>
          <w:sz w:val="32"/>
          <w:szCs w:val="32"/>
        </w:rPr>
        <w:t>26.0%</w:t>
      </w:r>
      <w:r>
        <w:rPr>
          <w:rFonts w:hint="eastAsia" w:ascii="仿宋_GB2312" w:eastAsia="仿宋_GB2312" w:cs="DengXian-Regular"/>
          <w:sz w:val="32"/>
          <w:szCs w:val="32"/>
        </w:rPr>
        <w:t>；支出增加</w:t>
      </w:r>
      <w:r>
        <w:rPr>
          <w:rFonts w:ascii="仿宋_GB2312" w:eastAsia="仿宋_GB2312" w:cs="DengXian-Regular"/>
          <w:sz w:val="32"/>
          <w:szCs w:val="32"/>
        </w:rPr>
        <w:t>466.35</w:t>
      </w:r>
      <w:r>
        <w:rPr>
          <w:rFonts w:hint="eastAsia" w:ascii="仿宋_GB2312" w:eastAsia="仿宋_GB2312" w:cs="DengXian-Regular"/>
          <w:sz w:val="32"/>
          <w:szCs w:val="32"/>
        </w:rPr>
        <w:t>万元，增长</w:t>
      </w:r>
      <w:r>
        <w:rPr>
          <w:rFonts w:ascii="仿宋_GB2312" w:eastAsia="仿宋_GB2312" w:cs="DengXian-Regular"/>
          <w:sz w:val="32"/>
          <w:szCs w:val="32"/>
        </w:rPr>
        <w:t>24.8%</w:t>
      </w:r>
      <w:r>
        <w:rPr>
          <w:rFonts w:hint="eastAsia" w:ascii="仿宋_GB2312" w:eastAsia="仿宋_GB2312" w:cs="DengXian-Regular"/>
          <w:sz w:val="32"/>
          <w:szCs w:val="32"/>
        </w:rPr>
        <w:t>，</w:t>
      </w:r>
      <w:r>
        <w:rPr>
          <w:rFonts w:hint="eastAsia" w:ascii="仿宋_GB2312" w:hAnsi="仿宋_GB2312" w:eastAsia="仿宋_GB2312"/>
          <w:color w:val="000000"/>
          <w:sz w:val="32"/>
          <w:szCs w:val="20"/>
        </w:rPr>
        <w:t>主要原因是村</w:t>
      </w:r>
      <w:r>
        <w:rPr>
          <w:rFonts w:hint="eastAsia"/>
          <w:sz w:val="30"/>
          <w:szCs w:val="30"/>
        </w:rPr>
        <w:t>街基础设施建设</w:t>
      </w:r>
      <w:r>
        <w:rPr>
          <w:rFonts w:hint="eastAsia" w:ascii="仿宋_GB2312" w:hAnsi="仿宋_GB2312" w:eastAsia="仿宋_GB2312"/>
          <w:color w:val="000000"/>
          <w:sz w:val="32"/>
          <w:szCs w:val="20"/>
        </w:rPr>
        <w:t>经费增加。</w:t>
      </w:r>
    </w:p>
    <w:p>
      <w:pPr>
        <w:pStyle w:val="3"/>
        <w:spacing w:before="0" w:after="0" w:line="580" w:lineRule="exact"/>
        <w:ind w:firstLine="480" w:firstLineChars="15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2365.19</w:t>
      </w:r>
      <w:r>
        <w:rPr>
          <w:rFonts w:hint="eastAsia" w:ascii="仿宋_GB2312" w:eastAsia="仿宋_GB2312" w:cs="DengXian-Regular"/>
          <w:sz w:val="32"/>
          <w:szCs w:val="32"/>
        </w:rPr>
        <w:t>万元，其中：财政拨款收入</w:t>
      </w:r>
      <w:r>
        <w:rPr>
          <w:rFonts w:ascii="仿宋_GB2312" w:eastAsia="仿宋_GB2312" w:cs="DengXian-Regular"/>
          <w:sz w:val="32"/>
          <w:szCs w:val="32"/>
        </w:rPr>
        <w:t>2365.19</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。如表所示：</w:t>
      </w:r>
    </w:p>
    <w:tbl>
      <w:tblPr>
        <w:tblStyle w:val="12"/>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Layout w:type="fixed"/>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：收入决算结构</w:t>
            </w: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2365.19</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100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2348.59</w:t>
      </w:r>
      <w:r>
        <w:rPr>
          <w:rFonts w:hint="eastAsia" w:ascii="仿宋_GB2312" w:eastAsia="仿宋_GB2312" w:cs="DengXian-Regular"/>
          <w:sz w:val="32"/>
          <w:szCs w:val="32"/>
        </w:rPr>
        <w:t>万元，其中：基本支出</w:t>
      </w:r>
      <w:r>
        <w:rPr>
          <w:rFonts w:ascii="仿宋_GB2312" w:eastAsia="仿宋_GB2312" w:cs="DengXian-Regular"/>
          <w:sz w:val="32"/>
          <w:szCs w:val="32"/>
        </w:rPr>
        <w:t>1279.65</w:t>
      </w:r>
      <w:r>
        <w:rPr>
          <w:rFonts w:hint="eastAsia" w:ascii="仿宋_GB2312" w:eastAsia="仿宋_GB2312" w:cs="DengXian-Regular"/>
          <w:sz w:val="32"/>
          <w:szCs w:val="32"/>
        </w:rPr>
        <w:t>万元，占</w:t>
      </w:r>
      <w:r>
        <w:rPr>
          <w:rFonts w:ascii="仿宋_GB2312" w:eastAsia="仿宋_GB2312" w:cs="DengXian-Regular"/>
          <w:sz w:val="32"/>
          <w:szCs w:val="32"/>
        </w:rPr>
        <w:t>54.5%</w:t>
      </w:r>
      <w:r>
        <w:rPr>
          <w:rFonts w:hint="eastAsia" w:ascii="仿宋_GB2312" w:eastAsia="仿宋_GB2312" w:cs="DengXian-Regular"/>
          <w:sz w:val="32"/>
          <w:szCs w:val="32"/>
        </w:rPr>
        <w:t>；项目支出</w:t>
      </w:r>
      <w:r>
        <w:rPr>
          <w:rFonts w:ascii="仿宋_GB2312" w:eastAsia="仿宋_GB2312" w:cs="DengXian-Regular"/>
          <w:sz w:val="32"/>
          <w:szCs w:val="32"/>
        </w:rPr>
        <w:t>1068.93</w:t>
      </w:r>
      <w:r>
        <w:rPr>
          <w:rFonts w:hint="eastAsia" w:ascii="仿宋_GB2312" w:eastAsia="仿宋_GB2312" w:cs="DengXian-Regular"/>
          <w:sz w:val="32"/>
          <w:szCs w:val="32"/>
        </w:rPr>
        <w:t>万元，占</w:t>
      </w:r>
      <w:r>
        <w:rPr>
          <w:rFonts w:ascii="仿宋_GB2312" w:eastAsia="仿宋_GB2312" w:cs="DengXian-Regular"/>
          <w:sz w:val="32"/>
          <w:szCs w:val="32"/>
        </w:rPr>
        <w:t>45.5%</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2493"/>
        <w:gridCol w:w="2300"/>
        <w:gridCol w:w="2070"/>
        <w:gridCol w:w="2011"/>
      </w:tblGrid>
      <w:tr>
        <w:tblPrEx>
          <w:tblLayout w:type="fixed"/>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2</w:t>
            </w:r>
            <w:r>
              <w:rPr>
                <w:rFonts w:hint="eastAsia" w:ascii="宋体" w:hAnsi="宋体" w:cs="宋体"/>
                <w:color w:val="000000"/>
                <w:kern w:val="0"/>
                <w:sz w:val="24"/>
              </w:rPr>
              <w:t>：支出决算结构</w:t>
            </w: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1279.65</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1068.93</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54.5</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45.5</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2365.19</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527.67</w:t>
      </w:r>
      <w:r>
        <w:rPr>
          <w:rFonts w:hint="eastAsia" w:ascii="仿宋_GB2312" w:eastAsia="仿宋_GB2312" w:cs="DengXian-Regular"/>
          <w:sz w:val="32"/>
          <w:szCs w:val="32"/>
        </w:rPr>
        <w:t>万元，增长</w:t>
      </w:r>
      <w:r>
        <w:rPr>
          <w:rFonts w:ascii="仿宋_GB2312" w:eastAsia="仿宋_GB2312" w:cs="DengXian-Regular"/>
          <w:sz w:val="32"/>
          <w:szCs w:val="32"/>
        </w:rPr>
        <w:t>28.7%</w:t>
      </w:r>
      <w:r>
        <w:rPr>
          <w:rFonts w:hint="eastAsia" w:ascii="仿宋_GB2312" w:eastAsia="仿宋_GB2312" w:cs="DengXian-Regular"/>
          <w:sz w:val="32"/>
          <w:szCs w:val="32"/>
        </w:rPr>
        <w:t>，主要是用于村街基础设施建设；本年支出</w:t>
      </w:r>
      <w:r>
        <w:rPr>
          <w:rFonts w:ascii="仿宋_GB2312" w:eastAsia="仿宋_GB2312" w:cs="DengXian-Regular"/>
          <w:sz w:val="32"/>
          <w:szCs w:val="32"/>
        </w:rPr>
        <w:t>2348.59</w:t>
      </w:r>
      <w:r>
        <w:rPr>
          <w:rFonts w:hint="eastAsia" w:ascii="仿宋_GB2312" w:eastAsia="仿宋_GB2312" w:cs="DengXian-Regular"/>
          <w:sz w:val="32"/>
          <w:szCs w:val="32"/>
        </w:rPr>
        <w:t>万元，增加</w:t>
      </w:r>
      <w:r>
        <w:rPr>
          <w:rFonts w:ascii="仿宋_GB2312" w:eastAsia="仿宋_GB2312" w:cs="DengXian-Regular"/>
          <w:sz w:val="32"/>
          <w:szCs w:val="32"/>
        </w:rPr>
        <w:t>506.35</w:t>
      </w:r>
      <w:r>
        <w:rPr>
          <w:rFonts w:hint="eastAsia" w:ascii="仿宋_GB2312" w:eastAsia="仿宋_GB2312" w:cs="DengXian-Regular"/>
          <w:sz w:val="32"/>
          <w:szCs w:val="32"/>
        </w:rPr>
        <w:t>万元，增长</w:t>
      </w:r>
      <w:r>
        <w:rPr>
          <w:rFonts w:ascii="仿宋_GB2312" w:eastAsia="仿宋_GB2312" w:cs="DengXian-Regular"/>
          <w:sz w:val="32"/>
          <w:szCs w:val="32"/>
        </w:rPr>
        <w:t>27.5%</w:t>
      </w:r>
      <w:r>
        <w:rPr>
          <w:rFonts w:hint="eastAsia" w:ascii="仿宋_GB2312" w:eastAsia="仿宋_GB2312" w:cs="DengXian-Regular"/>
          <w:sz w:val="32"/>
          <w:szCs w:val="32"/>
        </w:rPr>
        <w:t>，主要是街基础设施建设。</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1639.08</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198.44</w:t>
      </w:r>
      <w:r>
        <w:rPr>
          <w:rFonts w:hint="eastAsia" w:ascii="仿宋_GB2312" w:eastAsia="仿宋_GB2312" w:cs="DengXian-Regular"/>
          <w:sz w:val="32"/>
          <w:szCs w:val="32"/>
        </w:rPr>
        <w:t>万元；主要是严格控制办公经费支出</w:t>
      </w:r>
      <w:r>
        <w:rPr>
          <w:rFonts w:ascii="仿宋_GB2312" w:eastAsia="仿宋_GB2312" w:cs="DengXian-Regular"/>
          <w:sz w:val="32"/>
          <w:szCs w:val="32"/>
        </w:rPr>
        <w:t xml:space="preserve"> </w:t>
      </w:r>
      <w:r>
        <w:rPr>
          <w:rFonts w:hint="eastAsia" w:ascii="仿宋_GB2312" w:eastAsia="仿宋_GB2312" w:cs="DengXian-Regular"/>
          <w:sz w:val="32"/>
          <w:szCs w:val="32"/>
        </w:rPr>
        <w:t>；本年支出</w:t>
      </w:r>
      <w:r>
        <w:rPr>
          <w:rFonts w:ascii="仿宋_GB2312" w:eastAsia="仿宋_GB2312" w:cs="DengXian-Regular"/>
          <w:sz w:val="32"/>
          <w:szCs w:val="32"/>
        </w:rPr>
        <w:t>1622.48</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219.76</w:t>
      </w:r>
      <w:r>
        <w:rPr>
          <w:rFonts w:hint="eastAsia" w:ascii="仿宋_GB2312" w:eastAsia="仿宋_GB2312" w:cs="DengXian-Regular"/>
          <w:sz w:val="32"/>
          <w:szCs w:val="32"/>
        </w:rPr>
        <w:t>万元，降低</w:t>
      </w:r>
      <w:r>
        <w:rPr>
          <w:rFonts w:ascii="仿宋_GB2312" w:eastAsia="仿宋_GB2312" w:cs="DengXian-Regular"/>
          <w:sz w:val="32"/>
          <w:szCs w:val="32"/>
        </w:rPr>
        <w:t>11.9%</w:t>
      </w:r>
      <w:r>
        <w:rPr>
          <w:rFonts w:hint="eastAsia" w:ascii="仿宋_GB2312" w:eastAsia="仿宋_GB2312" w:cs="DengXian-Regular"/>
          <w:sz w:val="32"/>
          <w:szCs w:val="32"/>
        </w:rPr>
        <w:t>，主要是严格控制办公经费支出。政府性基金预算财政拨款本年收入</w:t>
      </w:r>
      <w:r>
        <w:rPr>
          <w:rFonts w:ascii="仿宋_GB2312" w:eastAsia="仿宋_GB2312" w:cs="DengXian-Regular"/>
          <w:sz w:val="32"/>
          <w:szCs w:val="32"/>
        </w:rPr>
        <w:t>726.11</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726.11</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，主要是村街基础设施建设支出；本年支出</w:t>
      </w:r>
      <w:r>
        <w:rPr>
          <w:rFonts w:ascii="仿宋_GB2312" w:eastAsia="仿宋_GB2312" w:cs="DengXian-Regular"/>
          <w:sz w:val="32"/>
          <w:szCs w:val="32"/>
        </w:rPr>
        <w:t>726.11</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726.11</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，主要是村街基础设施建设支出。</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Layout w:type="fixed"/>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表</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2017-2018</w:t>
            </w:r>
            <w:r>
              <w:rPr>
                <w:rFonts w:hint="eastAsia" w:ascii="仿宋_GB2312" w:hAnsi="宋体" w:eastAsia="仿宋_GB2312" w:cs="仿宋_GB2312"/>
                <w:color w:val="000000"/>
                <w:kern w:val="0"/>
                <w:sz w:val="28"/>
                <w:szCs w:val="28"/>
              </w:rPr>
              <w:t>年财政拨款收支情况</w:t>
            </w:r>
          </w:p>
        </w:tc>
      </w:tr>
      <w:tr>
        <w:tblPrEx>
          <w:tblLayout w:type="fixed"/>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blPrEx>
          <w:tblLayout w:type="fixed"/>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1837.52</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1837.52</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1842.24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1842.24</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2365.19</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1639.08</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2348.59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1622.48</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增长比率（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28.7</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w:t>
            </w:r>
            <w:r>
              <w:rPr>
                <w:rFonts w:ascii="宋体" w:hAnsi="宋体" w:cs="宋体"/>
                <w:color w:val="000000"/>
                <w:sz w:val="24"/>
              </w:rPr>
              <w:t>10.8</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100</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27.5</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-11.9</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100</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2365.19</w:t>
      </w:r>
      <w:r>
        <w:rPr>
          <w:rFonts w:hint="eastAsia" w:ascii="仿宋_GB2312" w:eastAsia="仿宋_GB2312" w:cs="DengXian-Regular"/>
          <w:sz w:val="32"/>
          <w:szCs w:val="32"/>
        </w:rPr>
        <w:t>万元，完成年初预算的</w:t>
      </w:r>
      <w:r>
        <w:rPr>
          <w:rFonts w:ascii="仿宋_GB2312" w:eastAsia="仿宋_GB2312" w:cs="DengXian-Regular"/>
          <w:sz w:val="32"/>
          <w:szCs w:val="32"/>
        </w:rPr>
        <w:t>96.1%,</w:t>
      </w:r>
      <w:r>
        <w:rPr>
          <w:rFonts w:hint="eastAsia" w:ascii="仿宋_GB2312" w:eastAsia="仿宋_GB2312" w:cs="DengXian-Regular"/>
          <w:sz w:val="32"/>
          <w:szCs w:val="32"/>
        </w:rPr>
        <w:t>比年初预算减少</w:t>
      </w:r>
      <w:r>
        <w:rPr>
          <w:rFonts w:ascii="仿宋_GB2312" w:eastAsia="仿宋_GB2312" w:cs="DengXian-Regular"/>
          <w:sz w:val="32"/>
          <w:szCs w:val="32"/>
        </w:rPr>
        <w:t>94.97</w:t>
      </w:r>
      <w:r>
        <w:rPr>
          <w:rFonts w:hint="eastAsia" w:ascii="仿宋_GB2312" w:eastAsia="仿宋_GB2312" w:cs="DengXian-Regular"/>
          <w:sz w:val="32"/>
          <w:szCs w:val="32"/>
        </w:rPr>
        <w:t>万元，决算数小于预算数主要是严格控制经费支出；本年支出</w:t>
      </w:r>
      <w:r>
        <w:rPr>
          <w:rFonts w:ascii="仿宋_GB2312" w:eastAsia="仿宋_GB2312" w:cs="DengXian-Regular"/>
          <w:sz w:val="32"/>
          <w:szCs w:val="32"/>
        </w:rPr>
        <w:t>2348.59</w:t>
      </w:r>
      <w:r>
        <w:rPr>
          <w:rFonts w:hint="eastAsia" w:ascii="仿宋_GB2312" w:eastAsia="仿宋_GB2312" w:cs="DengXian-Regular"/>
          <w:sz w:val="32"/>
          <w:szCs w:val="32"/>
        </w:rPr>
        <w:t>万元，完成年初预算的</w:t>
      </w:r>
      <w:r>
        <w:rPr>
          <w:rFonts w:ascii="仿宋_GB2312" w:eastAsia="仿宋_GB2312" w:cs="DengXian-Regular"/>
          <w:sz w:val="32"/>
          <w:szCs w:val="32"/>
        </w:rPr>
        <w:t>95.5%,</w:t>
      </w:r>
      <w:r>
        <w:rPr>
          <w:rFonts w:hint="eastAsia" w:ascii="仿宋_GB2312" w:eastAsia="仿宋_GB2312" w:cs="DengXian-Regular"/>
          <w:sz w:val="32"/>
          <w:szCs w:val="32"/>
        </w:rPr>
        <w:t>比年初预算减少</w:t>
      </w:r>
      <w:r>
        <w:rPr>
          <w:rFonts w:ascii="仿宋_GB2312" w:eastAsia="仿宋_GB2312" w:cs="DengXian-Regular"/>
          <w:sz w:val="32"/>
          <w:szCs w:val="32"/>
        </w:rPr>
        <w:t>111.31</w:t>
      </w:r>
      <w:r>
        <w:rPr>
          <w:rFonts w:hint="eastAsia" w:ascii="仿宋_GB2312" w:eastAsia="仿宋_GB2312" w:cs="DengXian-Regular"/>
          <w:sz w:val="32"/>
          <w:szCs w:val="32"/>
        </w:rPr>
        <w:t>万元，决算数小于预算数主要是严格控制经费支出。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94.5%</w:t>
      </w:r>
      <w:r>
        <w:rPr>
          <w:rFonts w:hint="eastAsia" w:ascii="仿宋_GB2312" w:eastAsia="仿宋_GB2312" w:cs="DengXian-Regular"/>
          <w:sz w:val="32"/>
          <w:szCs w:val="32"/>
        </w:rPr>
        <w:t>，比年初预算减少</w:t>
      </w:r>
      <w:r>
        <w:rPr>
          <w:rFonts w:ascii="仿宋_GB2312" w:eastAsia="仿宋_GB2312" w:cs="DengXian-Regular"/>
          <w:sz w:val="32"/>
          <w:szCs w:val="32"/>
        </w:rPr>
        <w:t>94.97</w:t>
      </w:r>
      <w:r>
        <w:rPr>
          <w:rFonts w:hint="eastAsia" w:ascii="仿宋_GB2312" w:eastAsia="仿宋_GB2312" w:cs="DengXian-Regular"/>
          <w:sz w:val="32"/>
          <w:szCs w:val="32"/>
        </w:rPr>
        <w:t>万元，决算数小于预算数主要是严格控制经费支出；支出完成年初预算</w:t>
      </w:r>
      <w:r>
        <w:rPr>
          <w:rFonts w:ascii="仿宋_GB2312" w:eastAsia="仿宋_GB2312" w:cs="DengXian-Regular"/>
          <w:sz w:val="32"/>
          <w:szCs w:val="32"/>
        </w:rPr>
        <w:t>93.6%</w:t>
      </w:r>
      <w:r>
        <w:rPr>
          <w:rFonts w:hint="eastAsia" w:ascii="仿宋_GB2312" w:eastAsia="仿宋_GB2312" w:cs="DengXian-Regular"/>
          <w:sz w:val="32"/>
          <w:szCs w:val="32"/>
        </w:rPr>
        <w:t>，比年初预算减少</w:t>
      </w:r>
      <w:r>
        <w:rPr>
          <w:rFonts w:ascii="仿宋_GB2312" w:eastAsia="仿宋_GB2312" w:cs="DengXian-Regular"/>
          <w:sz w:val="32"/>
          <w:szCs w:val="32"/>
        </w:rPr>
        <w:t>111.31</w:t>
      </w:r>
      <w:r>
        <w:rPr>
          <w:rFonts w:hint="eastAsia" w:ascii="仿宋_GB2312" w:eastAsia="仿宋_GB2312" w:cs="DengXian-Regular"/>
          <w:sz w:val="32"/>
          <w:szCs w:val="32"/>
        </w:rPr>
        <w:t>万元，决算数小于预算数主要是严格控制经费支出。政府性基金预算财政拨款本年收入完成年初预算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0</w:t>
      </w:r>
      <w:r>
        <w:rPr>
          <w:rFonts w:hint="eastAsia" w:ascii="仿宋_GB2312" w:eastAsia="仿宋_GB2312" w:cs="DengXian-Regular"/>
          <w:sz w:val="32"/>
          <w:szCs w:val="32"/>
        </w:rPr>
        <w:t>万元，与预算数一致；支出完成年初预算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0</w:t>
      </w:r>
      <w:r>
        <w:rPr>
          <w:rFonts w:hint="eastAsia" w:ascii="仿宋_GB2312" w:eastAsia="仿宋_GB2312" w:cs="DengXian-Regular"/>
          <w:sz w:val="32"/>
          <w:szCs w:val="32"/>
        </w:rPr>
        <w:t>万元，与预算数一致。</w:t>
      </w:r>
    </w:p>
    <w:p>
      <w:pPr>
        <w:adjustRightInd w:val="0"/>
        <w:snapToGrid w:val="0"/>
        <w:spacing w:after="0" w:line="580" w:lineRule="exact"/>
        <w:ind w:firstLine="640" w:firstLineChars="200"/>
        <w:rPr>
          <w:rFonts w:ascii="仿宋_GB2312" w:eastAsia="仿宋_GB2312" w:cs="DengXian-Regular"/>
          <w:sz w:val="32"/>
          <w:szCs w:val="32"/>
          <w:highlight w:val="yellow"/>
        </w:rPr>
      </w:pPr>
    </w:p>
    <w:tbl>
      <w:tblPr>
        <w:tblStyle w:val="12"/>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Layout w:type="fixed"/>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4</w:t>
            </w:r>
            <w:r>
              <w:rPr>
                <w:rFonts w:hint="eastAsia" w:ascii="宋体" w:hAnsi="宋体" w:cs="宋体"/>
                <w:color w:val="000000"/>
                <w:kern w:val="0"/>
                <w:sz w:val="24"/>
              </w:rPr>
              <w:t>：财政拨款收支预决算对比情况</w:t>
            </w:r>
          </w:p>
        </w:tc>
      </w:tr>
      <w:tr>
        <w:tblPrEx>
          <w:tblLayout w:type="fixed"/>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blPrEx>
          <w:tblLayout w:type="fixed"/>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blPrEx>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2459.9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1733.79</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2459.9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1733.79</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r>
      <w:tr>
        <w:tblPrEx>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2365.19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1639.08</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2348.59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1622.48</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726.11</w:t>
            </w: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2348.59</w:t>
      </w:r>
      <w:r>
        <w:rPr>
          <w:rFonts w:hint="eastAsia" w:ascii="仿宋_GB2312" w:eastAsia="仿宋_GB2312" w:cs="DengXian-Regular"/>
          <w:sz w:val="32"/>
          <w:szCs w:val="32"/>
        </w:rPr>
        <w:t>万元，主要用于以下方面</w:t>
      </w:r>
      <w:r>
        <w:rPr>
          <w:rFonts w:ascii="Calibri" w:hAnsi="Calibri" w:eastAsia="仿宋_GB2312" w:cs="Calibri"/>
          <w:sz w:val="32"/>
          <w:szCs w:val="32"/>
        </w:rPr>
        <w:t>:</w:t>
      </w:r>
      <w:r>
        <w:rPr>
          <w:rFonts w:hint="eastAsia" w:ascii="仿宋_GB2312" w:eastAsia="仿宋_GB2312" w:cs="DengXian-Regular"/>
          <w:sz w:val="32"/>
          <w:szCs w:val="32"/>
        </w:rPr>
        <w:t>一般公共服务（类）支出</w:t>
      </w:r>
      <w:r>
        <w:rPr>
          <w:rFonts w:ascii="仿宋_GB2312" w:eastAsia="仿宋_GB2312" w:cs="DengXian-Regular"/>
          <w:sz w:val="32"/>
          <w:szCs w:val="32"/>
        </w:rPr>
        <w:t>1393.54</w:t>
      </w:r>
      <w:r>
        <w:rPr>
          <w:rFonts w:hint="eastAsia" w:ascii="仿宋_GB2312" w:eastAsia="仿宋_GB2312" w:cs="DengXian-Regular"/>
          <w:sz w:val="32"/>
          <w:szCs w:val="32"/>
        </w:rPr>
        <w:t>万元，占</w:t>
      </w:r>
      <w:r>
        <w:rPr>
          <w:rFonts w:ascii="仿宋_GB2312" w:eastAsia="仿宋_GB2312" w:cs="DengXian-Regular"/>
          <w:sz w:val="32"/>
          <w:szCs w:val="32"/>
        </w:rPr>
        <w:t>59.3%</w:t>
      </w:r>
      <w:r>
        <w:rPr>
          <w:rFonts w:hint="eastAsia" w:ascii="仿宋_GB2312" w:eastAsia="仿宋_GB2312" w:cs="DengXian-Regular"/>
          <w:sz w:val="32"/>
          <w:szCs w:val="32"/>
        </w:rPr>
        <w:t>；公共安全（类）支出</w:t>
      </w:r>
      <w:r>
        <w:rPr>
          <w:rFonts w:ascii="仿宋_GB2312" w:eastAsia="仿宋_GB2312" w:cs="DengXian-Regular"/>
          <w:sz w:val="32"/>
          <w:szCs w:val="32"/>
        </w:rPr>
        <w:t>3.08</w:t>
      </w:r>
      <w:r>
        <w:rPr>
          <w:rFonts w:hint="eastAsia" w:ascii="仿宋_GB2312" w:eastAsia="仿宋_GB2312" w:cs="DengXian-Regular"/>
          <w:sz w:val="32"/>
          <w:szCs w:val="32"/>
        </w:rPr>
        <w:t>万元，占</w:t>
      </w:r>
      <w:r>
        <w:rPr>
          <w:rFonts w:ascii="仿宋_GB2312" w:eastAsia="仿宋_GB2312" w:cs="DengXian-Regular"/>
          <w:sz w:val="32"/>
          <w:szCs w:val="32"/>
        </w:rPr>
        <w:t>0.1%</w:t>
      </w:r>
      <w:r>
        <w:rPr>
          <w:rFonts w:hint="eastAsia" w:ascii="仿宋_GB2312" w:eastAsia="仿宋_GB2312" w:cs="DengXian-Regular"/>
          <w:sz w:val="32"/>
          <w:szCs w:val="32"/>
        </w:rPr>
        <w:t>；文化体育与传媒（类）支出</w:t>
      </w:r>
      <w:r>
        <w:rPr>
          <w:rFonts w:ascii="仿宋_GB2312" w:eastAsia="仿宋_GB2312" w:cs="DengXian-Regular"/>
          <w:sz w:val="32"/>
          <w:szCs w:val="32"/>
        </w:rPr>
        <w:t>5</w:t>
      </w:r>
      <w:r>
        <w:rPr>
          <w:rFonts w:hint="eastAsia" w:ascii="仿宋_GB2312" w:eastAsia="仿宋_GB2312" w:cs="DengXian-Regular"/>
          <w:sz w:val="32"/>
          <w:szCs w:val="32"/>
        </w:rPr>
        <w:t>万元，占</w:t>
      </w:r>
      <w:r>
        <w:rPr>
          <w:rFonts w:ascii="仿宋_GB2312" w:eastAsia="仿宋_GB2312" w:cs="DengXian-Regular"/>
          <w:sz w:val="32"/>
          <w:szCs w:val="32"/>
        </w:rPr>
        <w:t xml:space="preserve"> 0.2%</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73.98</w:t>
      </w:r>
      <w:r>
        <w:rPr>
          <w:rFonts w:hint="eastAsia" w:ascii="仿宋_GB2312" w:eastAsia="仿宋_GB2312" w:cs="DengXian-Regular"/>
          <w:sz w:val="32"/>
          <w:szCs w:val="32"/>
        </w:rPr>
        <w:t>万元，占</w:t>
      </w:r>
      <w:r>
        <w:rPr>
          <w:rFonts w:ascii="仿宋_GB2312" w:eastAsia="仿宋_GB2312" w:cs="DengXian-Regular"/>
          <w:sz w:val="32"/>
          <w:szCs w:val="32"/>
        </w:rPr>
        <w:t>3.1%</w:t>
      </w:r>
      <w:r>
        <w:rPr>
          <w:rFonts w:hint="eastAsia" w:ascii="仿宋_GB2312" w:eastAsia="仿宋_GB2312" w:cs="DengXian-Regular"/>
          <w:sz w:val="32"/>
          <w:szCs w:val="32"/>
        </w:rPr>
        <w:t>；节能环保（类）支出</w:t>
      </w:r>
      <w:r>
        <w:rPr>
          <w:rFonts w:ascii="仿宋_GB2312" w:eastAsia="仿宋_GB2312" w:cs="DengXian-Regular"/>
          <w:sz w:val="32"/>
          <w:szCs w:val="32"/>
        </w:rPr>
        <w:t>49.88</w:t>
      </w:r>
      <w:r>
        <w:rPr>
          <w:rFonts w:hint="eastAsia" w:ascii="仿宋_GB2312" w:eastAsia="仿宋_GB2312" w:cs="DengXian-Regular"/>
          <w:sz w:val="32"/>
          <w:szCs w:val="32"/>
        </w:rPr>
        <w:t>万元，占</w:t>
      </w:r>
      <w:r>
        <w:rPr>
          <w:rFonts w:ascii="仿宋_GB2312" w:eastAsia="仿宋_GB2312" w:cs="DengXian-Regular"/>
          <w:sz w:val="32"/>
          <w:szCs w:val="32"/>
        </w:rPr>
        <w:t xml:space="preserve"> 2.1%</w:t>
      </w:r>
      <w:r>
        <w:rPr>
          <w:rFonts w:hint="eastAsia" w:ascii="仿宋_GB2312" w:eastAsia="仿宋_GB2312" w:cs="DengXian-Regular"/>
          <w:sz w:val="32"/>
          <w:szCs w:val="32"/>
        </w:rPr>
        <w:t>；城乡社区（类）支出</w:t>
      </w:r>
      <w:r>
        <w:rPr>
          <w:rFonts w:ascii="仿宋_GB2312" w:eastAsia="仿宋_GB2312" w:cs="DengXian-Regular"/>
          <w:sz w:val="32"/>
          <w:szCs w:val="32"/>
        </w:rPr>
        <w:t>726.11</w:t>
      </w:r>
      <w:r>
        <w:rPr>
          <w:rFonts w:hint="eastAsia" w:ascii="仿宋_GB2312" w:eastAsia="仿宋_GB2312" w:cs="DengXian-Regular"/>
          <w:sz w:val="32"/>
          <w:szCs w:val="32"/>
        </w:rPr>
        <w:t>万元，占</w:t>
      </w:r>
      <w:r>
        <w:rPr>
          <w:rFonts w:ascii="仿宋_GB2312" w:eastAsia="仿宋_GB2312" w:cs="DengXian-Regular"/>
          <w:sz w:val="32"/>
          <w:szCs w:val="32"/>
        </w:rPr>
        <w:t>30.9%;</w:t>
      </w:r>
      <w:r>
        <w:rPr>
          <w:rFonts w:hint="eastAsia" w:ascii="仿宋_GB2312" w:eastAsia="仿宋_GB2312" w:cs="DengXian-Regular"/>
          <w:sz w:val="32"/>
          <w:szCs w:val="32"/>
        </w:rPr>
        <w:t>农林水（类）支出</w:t>
      </w:r>
      <w:r>
        <w:rPr>
          <w:rFonts w:ascii="仿宋_GB2312" w:eastAsia="仿宋_GB2312" w:cs="DengXian-Regular"/>
          <w:sz w:val="32"/>
          <w:szCs w:val="32"/>
        </w:rPr>
        <w:t>97</w:t>
      </w:r>
      <w:r>
        <w:rPr>
          <w:rFonts w:hint="eastAsia" w:ascii="仿宋_GB2312" w:eastAsia="仿宋_GB2312" w:cs="DengXian-Regular"/>
          <w:sz w:val="32"/>
          <w:szCs w:val="32"/>
        </w:rPr>
        <w:t>万元，占</w:t>
      </w:r>
      <w:r>
        <w:rPr>
          <w:rFonts w:ascii="仿宋_GB2312" w:eastAsia="仿宋_GB2312" w:cs="DengXian-Regular"/>
          <w:sz w:val="32"/>
          <w:szCs w:val="32"/>
        </w:rPr>
        <w:t>4.1%</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661" w:type="dxa"/>
        <w:tblInd w:w="0" w:type="dxa"/>
        <w:tblLayout w:type="fixed"/>
        <w:tblCellMar>
          <w:top w:w="15" w:type="dxa"/>
          <w:left w:w="15" w:type="dxa"/>
          <w:bottom w:w="15" w:type="dxa"/>
          <w:right w:w="15" w:type="dxa"/>
        </w:tblCellMar>
      </w:tblPr>
      <w:tblGrid>
        <w:gridCol w:w="1291"/>
        <w:gridCol w:w="1276"/>
        <w:gridCol w:w="992"/>
        <w:gridCol w:w="142"/>
        <w:gridCol w:w="992"/>
        <w:gridCol w:w="992"/>
        <w:gridCol w:w="992"/>
        <w:gridCol w:w="992"/>
        <w:gridCol w:w="992"/>
      </w:tblGrid>
      <w:tr>
        <w:tblPrEx>
          <w:tblLayout w:type="fixed"/>
          <w:tblCellMar>
            <w:top w:w="15" w:type="dxa"/>
            <w:left w:w="15" w:type="dxa"/>
            <w:bottom w:w="15" w:type="dxa"/>
            <w:right w:w="15" w:type="dxa"/>
          </w:tblCellMar>
        </w:tblPrEx>
        <w:trPr>
          <w:trHeight w:val="286" w:hRule="atLeast"/>
        </w:trPr>
        <w:tc>
          <w:tcPr>
            <w:tcW w:w="5685" w:type="dxa"/>
            <w:gridSpan w:val="6"/>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5</w:t>
            </w:r>
            <w:r>
              <w:rPr>
                <w:rFonts w:hint="eastAsia" w:ascii="宋体" w:hAnsi="宋体" w:cs="宋体"/>
                <w:color w:val="000000"/>
                <w:kern w:val="0"/>
                <w:sz w:val="24"/>
              </w:rPr>
              <w:t>：财政拨款支出决算结构（按功能分类）</w:t>
            </w:r>
          </w:p>
        </w:tc>
        <w:tc>
          <w:tcPr>
            <w:tcW w:w="992" w:type="dxa"/>
          </w:tcPr>
          <w:p>
            <w:pPr>
              <w:widowControl/>
              <w:jc w:val="center"/>
              <w:textAlignment w:val="center"/>
              <w:rPr>
                <w:rFonts w:ascii="宋体" w:cs="宋体"/>
                <w:color w:val="000000"/>
                <w:kern w:val="0"/>
                <w:sz w:val="24"/>
              </w:rPr>
            </w:pPr>
          </w:p>
        </w:tc>
        <w:tc>
          <w:tcPr>
            <w:tcW w:w="992" w:type="dxa"/>
          </w:tcPr>
          <w:p>
            <w:pPr>
              <w:widowControl/>
              <w:jc w:val="center"/>
              <w:textAlignment w:val="center"/>
              <w:rPr>
                <w:rFonts w:ascii="宋体" w:cs="宋体"/>
                <w:color w:val="000000"/>
                <w:kern w:val="0"/>
                <w:sz w:val="24"/>
              </w:rPr>
            </w:pPr>
          </w:p>
        </w:tc>
        <w:tc>
          <w:tcPr>
            <w:tcW w:w="992" w:type="dxa"/>
          </w:tcPr>
          <w:p>
            <w:pPr>
              <w:widowControl/>
              <w:jc w:val="center"/>
              <w:textAlignment w:val="center"/>
              <w:rPr>
                <w:rFonts w:ascii="宋体" w:cs="宋体"/>
                <w:color w:val="000000"/>
                <w:kern w:val="0"/>
                <w:sz w:val="24"/>
              </w:rPr>
            </w:pPr>
          </w:p>
        </w:tc>
      </w:tr>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公共安全支出</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文化体育与传媒支出</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社会保障与就业支出</w:t>
            </w:r>
          </w:p>
        </w:tc>
        <w:tc>
          <w:tcPr>
            <w:tcW w:w="99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节能环保支出</w:t>
            </w:r>
          </w:p>
        </w:tc>
        <w:tc>
          <w:tcPr>
            <w:tcW w:w="99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城乡社区支出</w:t>
            </w:r>
          </w:p>
        </w:tc>
        <w:tc>
          <w:tcPr>
            <w:tcW w:w="992"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农林水支出</w:t>
            </w:r>
          </w:p>
        </w:tc>
      </w:tr>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1393.54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3.08</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73.98</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49.88</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726.11</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97</w:t>
            </w:r>
          </w:p>
        </w:tc>
      </w:tr>
      <w:tr>
        <w:tblPrEx>
          <w:tblLayout w:type="fixed"/>
          <w:tblCellMar>
            <w:top w:w="15" w:type="dxa"/>
            <w:left w:w="15" w:type="dxa"/>
            <w:bottom w:w="15" w:type="dxa"/>
            <w:right w:w="15" w:type="dxa"/>
          </w:tblCellMar>
        </w:tblPrEx>
        <w:trPr>
          <w:trHeight w:val="286"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59.3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0.1</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0.2</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hAnsi="宋体" w:cs="宋体"/>
                <w:color w:val="000000"/>
                <w:sz w:val="24"/>
              </w:rPr>
              <w:t>3.1</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2.1</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30.9</w:t>
            </w:r>
          </w:p>
        </w:tc>
        <w:tc>
          <w:tcPr>
            <w:tcW w:w="992" w:type="dxa"/>
            <w:tcBorders>
              <w:top w:val="single" w:color="000000" w:sz="4" w:space="0"/>
              <w:left w:val="single" w:color="000000" w:sz="4" w:space="0"/>
              <w:bottom w:val="single" w:color="000000" w:sz="4" w:space="0"/>
              <w:right w:val="single" w:color="000000" w:sz="4" w:space="0"/>
            </w:tcBorders>
          </w:tcPr>
          <w:p>
            <w:pPr>
              <w:rPr>
                <w:rFonts w:ascii="宋体" w:cs="宋体"/>
                <w:color w:val="000000"/>
                <w:sz w:val="24"/>
              </w:rPr>
            </w:pPr>
            <w:r>
              <w:rPr>
                <w:rFonts w:ascii="宋体" w:hAnsi="宋体" w:cs="宋体"/>
                <w:color w:val="000000"/>
                <w:sz w:val="24"/>
              </w:rPr>
              <w:t>4.1</w:t>
            </w:r>
          </w:p>
        </w:tc>
      </w:tr>
    </w:tbl>
    <w:p>
      <w:pPr>
        <w:adjustRightInd w:val="0"/>
        <w:snapToGrid w:val="0"/>
        <w:spacing w:after="0" w:line="580" w:lineRule="exact"/>
        <w:ind w:left="420" w:leftChars="200"/>
        <w:rPr>
          <w:rFonts w:ascii="仿宋_GB2312" w:eastAsia="仿宋_GB2312"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1279.65</w:t>
      </w:r>
      <w:r>
        <w:rPr>
          <w:rFonts w:hint="eastAsia" w:ascii="仿宋_GB2312" w:eastAsia="仿宋_GB2312" w:cs="DengXian-Regular"/>
          <w:sz w:val="32"/>
          <w:szCs w:val="32"/>
        </w:rPr>
        <w:t>万元，其中：人员经费</w:t>
      </w:r>
      <w:r>
        <w:rPr>
          <w:rFonts w:ascii="仿宋_GB2312" w:eastAsia="仿宋_GB2312" w:cs="DengXian-Regular"/>
          <w:sz w:val="32"/>
          <w:szCs w:val="32"/>
        </w:rPr>
        <w:t>1136.84</w:t>
      </w:r>
      <w:r>
        <w:rPr>
          <w:rFonts w:hint="eastAsia" w:ascii="仿宋_GB2312" w:eastAsia="仿宋_GB2312" w:cs="DengXian-Regular"/>
          <w:sz w:val="32"/>
          <w:szCs w:val="32"/>
        </w:rPr>
        <w:t>万元，主要包括基本工资、津贴补贴、奖金、绩效工资、机关事业单位基本养老保险缴费、职业年金缴费、职工基本医疗保险缴费、其他社会保障缴费、住房公积金、其他工资福利支出、生活补助、医疗费补助、奖励金等；公用经费</w:t>
      </w:r>
      <w:r>
        <w:rPr>
          <w:rFonts w:ascii="仿宋_GB2312" w:eastAsia="仿宋_GB2312" w:cs="DengXian-Regular"/>
          <w:sz w:val="32"/>
          <w:szCs w:val="32"/>
        </w:rPr>
        <w:t>142.81</w:t>
      </w:r>
      <w:r>
        <w:rPr>
          <w:rFonts w:hint="eastAsia" w:ascii="仿宋_GB2312" w:eastAsia="仿宋_GB2312" w:cs="DengXian-Regular"/>
          <w:sz w:val="32"/>
          <w:szCs w:val="32"/>
        </w:rPr>
        <w:t>万元，主要包括办公费、电费、邮电费、取暖费、差旅费、维修（护）费、工会经费、公务用车运行维护费、其他交通费用等。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南孟镇</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7.50</w:t>
      </w:r>
      <w:r>
        <w:rPr>
          <w:rFonts w:hint="eastAsia" w:eastAsia="仿宋_GB2312"/>
          <w:sz w:val="32"/>
          <w:szCs w:val="32"/>
        </w:rPr>
        <w:t>万元，比年初预算减少</w:t>
      </w:r>
      <w:r>
        <w:rPr>
          <w:rFonts w:eastAsia="仿宋_GB2312"/>
          <w:sz w:val="32"/>
          <w:szCs w:val="32"/>
        </w:rPr>
        <w:t>1.4</w:t>
      </w:r>
      <w:r>
        <w:rPr>
          <w:rFonts w:hint="eastAsia" w:eastAsia="仿宋_GB2312"/>
          <w:sz w:val="32"/>
          <w:szCs w:val="32"/>
        </w:rPr>
        <w:t>万元，降低</w:t>
      </w:r>
      <w:r>
        <w:rPr>
          <w:rFonts w:eastAsia="仿宋_GB2312"/>
          <w:sz w:val="32"/>
          <w:szCs w:val="32"/>
        </w:rPr>
        <w:t>15.7%</w:t>
      </w:r>
      <w:r>
        <w:rPr>
          <w:rFonts w:hint="eastAsia" w:eastAsia="仿宋_GB2312"/>
          <w:sz w:val="32"/>
          <w:szCs w:val="32"/>
        </w:rPr>
        <w:t>，主要是严格控制三公经费支出</w:t>
      </w:r>
      <w:r>
        <w:rPr>
          <w:rFonts w:hint="eastAsia" w:eastAsia="仿宋_GB2312"/>
          <w:sz w:val="32"/>
          <w:szCs w:val="32"/>
          <w:lang w:eastAsia="zh-CN"/>
        </w:rPr>
        <w:t>，</w:t>
      </w:r>
      <w:r>
        <w:rPr>
          <w:rFonts w:hint="eastAsia" w:eastAsia="仿宋_GB2312"/>
          <w:sz w:val="32"/>
          <w:szCs w:val="32"/>
          <w:lang w:val="en-US" w:eastAsia="zh-CN"/>
        </w:rPr>
        <w:t>与</w:t>
      </w:r>
      <w:r>
        <w:rPr>
          <w:rFonts w:eastAsia="仿宋_GB2312"/>
          <w:sz w:val="32"/>
          <w:szCs w:val="32"/>
        </w:rPr>
        <w:t>2017</w:t>
      </w:r>
      <w:r>
        <w:rPr>
          <w:rFonts w:hint="eastAsia" w:eastAsia="仿宋_GB2312"/>
          <w:sz w:val="32"/>
          <w:szCs w:val="32"/>
        </w:rPr>
        <w:t>年度</w:t>
      </w:r>
      <w:r>
        <w:rPr>
          <w:rFonts w:hint="eastAsia" w:eastAsia="仿宋_GB2312"/>
          <w:sz w:val="32"/>
          <w:szCs w:val="32"/>
          <w:lang w:val="en-US" w:eastAsia="zh-CN"/>
        </w:rPr>
        <w:t>决算持平，</w:t>
      </w:r>
      <w:r>
        <w:rPr>
          <w:rFonts w:hint="eastAsia"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南孟镇</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color w:val="000000"/>
          <w:sz w:val="32"/>
          <w:szCs w:val="32"/>
        </w:rPr>
        <w:t>未发生</w:t>
      </w:r>
      <w:r>
        <w:rPr>
          <w:rFonts w:eastAsia="仿宋_GB2312"/>
          <w:color w:val="000000"/>
          <w:sz w:val="32"/>
          <w:szCs w:val="32"/>
        </w:rPr>
        <w:t>“</w:t>
      </w:r>
      <w:r>
        <w:rPr>
          <w:rFonts w:hint="eastAsia" w:eastAsia="楷体_GB2312"/>
          <w:bCs/>
          <w:sz w:val="32"/>
          <w:szCs w:val="32"/>
        </w:rPr>
        <w:t>因公出国（境）</w:t>
      </w:r>
      <w:r>
        <w:rPr>
          <w:rFonts w:eastAsia="仿宋_GB2312"/>
          <w:color w:val="000000"/>
          <w:sz w:val="32"/>
          <w:szCs w:val="32"/>
        </w:rPr>
        <w:t>”</w:t>
      </w:r>
      <w:r>
        <w:rPr>
          <w:rFonts w:hint="eastAsia" w:eastAsia="仿宋_GB2312"/>
          <w:color w:val="000000"/>
          <w:sz w:val="32"/>
          <w:szCs w:val="32"/>
        </w:rPr>
        <w:t>经费支出，较年初预算无增减变化，</w:t>
      </w:r>
      <w:r>
        <w:rPr>
          <w:rFonts w:hint="eastAsia" w:eastAsia="仿宋_GB2312"/>
          <w:color w:val="000000"/>
          <w:sz w:val="32"/>
          <w:szCs w:val="32"/>
          <w:lang w:val="en-US" w:eastAsia="zh-CN"/>
        </w:rPr>
        <w:t>与</w:t>
      </w:r>
      <w:r>
        <w:rPr>
          <w:rFonts w:eastAsia="仿宋_GB2312"/>
          <w:color w:val="000000"/>
          <w:sz w:val="32"/>
          <w:szCs w:val="32"/>
        </w:rPr>
        <w:t>2017</w:t>
      </w:r>
      <w:r>
        <w:rPr>
          <w:rFonts w:hint="eastAsia" w:eastAsia="仿宋_GB2312"/>
          <w:color w:val="000000"/>
          <w:sz w:val="32"/>
          <w:szCs w:val="32"/>
        </w:rPr>
        <w:t>年度</w:t>
      </w:r>
      <w:r>
        <w:rPr>
          <w:rFonts w:hint="eastAsia" w:eastAsia="仿宋_GB2312"/>
          <w:color w:val="000000"/>
          <w:sz w:val="32"/>
          <w:szCs w:val="32"/>
          <w:lang w:val="en-US" w:eastAsia="zh-CN"/>
        </w:rPr>
        <w:t>持平</w:t>
      </w:r>
      <w:r>
        <w:rPr>
          <w:rFonts w:hint="eastAsia" w:eastAsia="仿宋_GB2312"/>
          <w:color w:val="000000"/>
          <w:sz w:val="32"/>
          <w:szCs w:val="32"/>
        </w:rPr>
        <w:t>。</w:t>
      </w:r>
    </w:p>
    <w:p>
      <w:pPr>
        <w:widowControl/>
        <w:spacing w:line="560" w:lineRule="exact"/>
        <w:ind w:firstLine="643" w:firstLineChars="200"/>
        <w:rPr>
          <w:rFonts w:eastAsia="楷体_GB2312"/>
          <w:b/>
          <w:bCs/>
          <w:sz w:val="32"/>
          <w:szCs w:val="32"/>
        </w:rPr>
      </w:pPr>
      <w:r>
        <w:rPr>
          <w:rFonts w:hint="eastAsia" w:eastAsia="楷体_GB2312"/>
          <w:b/>
          <w:bCs/>
          <w:sz w:val="32"/>
          <w:szCs w:val="32"/>
        </w:rPr>
        <w:t>（二）公务用车购置及运行维护费支出</w:t>
      </w:r>
      <w:r>
        <w:rPr>
          <w:rFonts w:eastAsia="楷体_GB2312"/>
          <w:b/>
          <w:bCs/>
          <w:sz w:val="32"/>
          <w:szCs w:val="32"/>
        </w:rPr>
        <w:t>7.5</w:t>
      </w:r>
      <w:r>
        <w:rPr>
          <w:rFonts w:hint="eastAsia" w:eastAsia="楷体_GB2312"/>
          <w:b/>
          <w:bCs/>
          <w:sz w:val="32"/>
          <w:szCs w:val="32"/>
        </w:rPr>
        <w:t>万元。</w:t>
      </w:r>
    </w:p>
    <w:p>
      <w:pPr>
        <w:widowControl/>
        <w:spacing w:line="560" w:lineRule="exact"/>
        <w:ind w:firstLine="640" w:firstLineChars="200"/>
        <w:rPr>
          <w:rFonts w:ascii="仿宋_GB2312" w:hAnsi="仿宋" w:eastAsia="仿宋_GB2312"/>
          <w:color w:val="000000"/>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ascii="仿宋_GB2312" w:hAnsi="仿宋" w:eastAsia="仿宋_GB2312"/>
          <w:color w:val="000000"/>
          <w:sz w:val="32"/>
          <w:szCs w:val="32"/>
        </w:rPr>
        <w:t>与年初预算相比无增减变化</w:t>
      </w:r>
      <w:r>
        <w:rPr>
          <w:rFonts w:hint="eastAsia" w:ascii="仿宋_GB2312" w:eastAsia="仿宋_GB2312" w:cs="DengXian-Regular"/>
          <w:sz w:val="32"/>
          <w:szCs w:val="32"/>
        </w:rPr>
        <w:t>，</w:t>
      </w:r>
      <w:r>
        <w:rPr>
          <w:rFonts w:hint="eastAsia" w:eastAsia="仿宋_GB2312"/>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年度</w:t>
      </w:r>
      <w:r>
        <w:rPr>
          <w:rFonts w:hint="eastAsia" w:ascii="仿宋_GB2312" w:hAnsi="仿宋" w:eastAsia="仿宋_GB2312"/>
          <w:color w:val="000000"/>
          <w:sz w:val="32"/>
          <w:szCs w:val="32"/>
          <w:lang w:val="en-US" w:eastAsia="zh-CN"/>
        </w:rPr>
        <w:t>持平</w:t>
      </w:r>
      <w:r>
        <w:rPr>
          <w:rFonts w:hint="eastAsia" w:ascii="仿宋_GB2312" w:hAnsi="仿宋" w:eastAsia="仿宋_GB2312"/>
          <w:color w:val="000000"/>
          <w:sz w:val="32"/>
          <w:szCs w:val="32"/>
        </w:rPr>
        <w:t>。</w:t>
      </w:r>
    </w:p>
    <w:p>
      <w:pPr>
        <w:adjustRightInd w:val="0"/>
        <w:snapToGrid w:val="0"/>
        <w:spacing w:line="584" w:lineRule="exact"/>
        <w:ind w:firstLine="643" w:firstLineChars="200"/>
        <w:rPr>
          <w:rFonts w:hint="eastAsia" w:ascii="仿宋_GB2312" w:hAnsi="仿宋" w:eastAsia="仿宋_GB2312"/>
          <w:color w:val="000000"/>
          <w:sz w:val="32"/>
          <w:szCs w:val="32"/>
          <w:lang w:val="en-US" w:eastAsia="zh-CN"/>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南孟镇</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w:t>
      </w:r>
      <w:r>
        <w:rPr>
          <w:rFonts w:hint="eastAsia" w:eastAsia="仿宋_GB2312"/>
          <w:color w:val="000000"/>
          <w:sz w:val="32"/>
          <w:szCs w:val="32"/>
        </w:rPr>
        <w:t>较年初预算无增减变化，</w:t>
      </w:r>
      <w:r>
        <w:rPr>
          <w:rFonts w:hint="eastAsia" w:eastAsia="仿宋_GB2312"/>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年度</w:t>
      </w:r>
      <w:r>
        <w:rPr>
          <w:rFonts w:hint="eastAsia" w:ascii="仿宋_GB2312" w:hAnsi="仿宋" w:eastAsia="仿宋_GB2312"/>
          <w:color w:val="000000"/>
          <w:sz w:val="32"/>
          <w:szCs w:val="32"/>
          <w:lang w:val="en-US" w:eastAsia="zh-CN"/>
        </w:rPr>
        <w:t>持平。</w:t>
      </w:r>
    </w:p>
    <w:p>
      <w:pPr>
        <w:adjustRightInd w:val="0"/>
        <w:snapToGrid w:val="0"/>
        <w:spacing w:line="584" w:lineRule="exact"/>
        <w:ind w:firstLine="643" w:firstLineChars="200"/>
        <w:rPr>
          <w:rFonts w:ascii="仿宋_GB2312" w:hAnsi="仿宋" w:eastAsia="仿宋_GB2312"/>
          <w:color w:val="000000"/>
          <w:sz w:val="32"/>
          <w:szCs w:val="32"/>
        </w:rPr>
      </w:pPr>
      <w:r>
        <w:rPr>
          <w:rFonts w:hint="eastAsia" w:eastAsia="仿宋_GB2312"/>
          <w:b/>
          <w:sz w:val="32"/>
          <w:szCs w:val="32"/>
        </w:rPr>
        <w:t>公务用车运行维护费支出</w:t>
      </w:r>
      <w:r>
        <w:rPr>
          <w:rFonts w:eastAsia="仿宋_GB2312"/>
          <w:b/>
          <w:sz w:val="32"/>
          <w:szCs w:val="32"/>
        </w:rPr>
        <w:t>7.5</w:t>
      </w:r>
      <w:r>
        <w:rPr>
          <w:rFonts w:hint="eastAsia" w:eastAsia="仿宋_GB2312"/>
          <w:b/>
          <w:sz w:val="32"/>
          <w:szCs w:val="32"/>
        </w:rPr>
        <w:t>万元。</w:t>
      </w:r>
      <w:r>
        <w:rPr>
          <w:rFonts w:hint="eastAsia" w:eastAsia="仿宋_GB2312"/>
          <w:sz w:val="32"/>
          <w:szCs w:val="32"/>
        </w:rPr>
        <w:t>南孟镇</w:t>
      </w:r>
      <w:r>
        <w:rPr>
          <w:rFonts w:eastAsia="仿宋_GB2312"/>
          <w:sz w:val="32"/>
          <w:szCs w:val="32"/>
        </w:rPr>
        <w:t>2018</w:t>
      </w:r>
      <w:r>
        <w:rPr>
          <w:rFonts w:hint="eastAsia" w:eastAsia="仿宋_GB2312"/>
          <w:sz w:val="32"/>
          <w:szCs w:val="32"/>
        </w:rPr>
        <w:t>年末单位公务用车保有量</w:t>
      </w:r>
      <w:r>
        <w:rPr>
          <w:rFonts w:eastAsia="仿宋_GB2312"/>
          <w:sz w:val="32"/>
          <w:szCs w:val="32"/>
        </w:rPr>
        <w:t>3</w:t>
      </w:r>
      <w:r>
        <w:rPr>
          <w:rFonts w:hint="eastAsia" w:eastAsia="仿宋_GB2312"/>
          <w:sz w:val="32"/>
          <w:szCs w:val="32"/>
        </w:rPr>
        <w:t>辆。</w:t>
      </w:r>
      <w:r>
        <w:rPr>
          <w:rFonts w:hint="eastAsia" w:eastAsia="仿宋_GB2312"/>
          <w:color w:val="000000"/>
          <w:sz w:val="32"/>
          <w:szCs w:val="32"/>
        </w:rPr>
        <w:t>较年初预算无增减变化，</w:t>
      </w:r>
      <w:r>
        <w:rPr>
          <w:rFonts w:hint="eastAsia" w:eastAsia="仿宋_GB2312"/>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年度</w:t>
      </w:r>
      <w:r>
        <w:rPr>
          <w:rFonts w:hint="eastAsia" w:ascii="仿宋_GB2312" w:hAnsi="仿宋" w:eastAsia="仿宋_GB2312"/>
          <w:color w:val="000000"/>
          <w:sz w:val="32"/>
          <w:szCs w:val="32"/>
          <w:lang w:val="en-US" w:eastAsia="zh-CN"/>
        </w:rPr>
        <w:t>持平。</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南孟镇</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人次。公务接待费支出比年初预算减少</w:t>
      </w:r>
      <w:r>
        <w:rPr>
          <w:rFonts w:eastAsia="仿宋_GB2312"/>
          <w:sz w:val="32"/>
          <w:szCs w:val="32"/>
        </w:rPr>
        <w:t>1.4</w:t>
      </w:r>
      <w:r>
        <w:rPr>
          <w:rFonts w:hint="eastAsia" w:eastAsia="仿宋_GB2312"/>
          <w:sz w:val="32"/>
          <w:szCs w:val="32"/>
        </w:rPr>
        <w:t>万元，降低</w:t>
      </w:r>
      <w:r>
        <w:rPr>
          <w:rFonts w:eastAsia="仿宋_GB2312"/>
          <w:sz w:val="32"/>
          <w:szCs w:val="32"/>
        </w:rPr>
        <w:t>100%</w:t>
      </w:r>
      <w:r>
        <w:rPr>
          <w:rFonts w:hint="eastAsia" w:eastAsia="仿宋_GB2312"/>
          <w:sz w:val="32"/>
          <w:szCs w:val="32"/>
        </w:rPr>
        <w:t>，主要是严格控制三公经费支出；</w:t>
      </w:r>
      <w:r>
        <w:rPr>
          <w:rFonts w:hint="eastAsia" w:eastAsia="仿宋_GB2312"/>
          <w:color w:val="000000"/>
          <w:sz w:val="32"/>
          <w:szCs w:val="32"/>
          <w:lang w:val="en-US" w:eastAsia="zh-CN"/>
        </w:rPr>
        <w:t>与</w:t>
      </w:r>
      <w:r>
        <w:rPr>
          <w:rFonts w:eastAsia="仿宋_GB2312"/>
          <w:sz w:val="32"/>
          <w:szCs w:val="32"/>
        </w:rPr>
        <w:t>2017</w:t>
      </w:r>
      <w:r>
        <w:rPr>
          <w:rFonts w:hint="eastAsia" w:eastAsia="仿宋_GB2312"/>
          <w:sz w:val="32"/>
          <w:szCs w:val="32"/>
        </w:rPr>
        <w:t>年度</w:t>
      </w:r>
      <w:r>
        <w:rPr>
          <w:rFonts w:hint="eastAsia" w:eastAsia="仿宋_GB2312"/>
          <w:sz w:val="32"/>
          <w:szCs w:val="32"/>
          <w:lang w:val="en-US" w:eastAsia="zh-CN"/>
        </w:rPr>
        <w:t>持平。</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bookmarkStart w:id="0" w:name="_GoBack"/>
      <w:bookmarkEnd w:id="0"/>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仿宋" w:eastAsia="仿宋_GB2312"/>
          <w:color w:val="000000"/>
          <w:sz w:val="32"/>
          <w:szCs w:val="32"/>
        </w:rPr>
        <w:t>根据市财政预算绩效管理要求，以“部门职责</w:t>
      </w:r>
      <w:r>
        <w:rPr>
          <w:rFonts w:ascii="仿宋_GB2312" w:hAnsi="仿宋" w:eastAsia="仿宋_GB2312"/>
          <w:color w:val="000000"/>
          <w:sz w:val="32"/>
          <w:szCs w:val="32"/>
        </w:rPr>
        <w:t>—</w:t>
      </w:r>
      <w:r>
        <w:rPr>
          <w:rFonts w:hint="eastAsia" w:ascii="仿宋_GB2312" w:hAnsi="仿宋" w:eastAsia="仿宋_GB2312"/>
          <w:color w:val="000000"/>
          <w:sz w:val="32"/>
          <w:szCs w:val="32"/>
        </w:rPr>
        <w:t>工作活动”为依据，确定部门预算项目和预算额度，清晰描述预算项目开支范围和内容，确定预算项目的绩效目标、绩效指标和评价标准，为预算绩效控制、绩效分析、绩效评价打下好的基础。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utoSpaceDE w:val="0"/>
        <w:autoSpaceDN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按照市财政预算绩效管理要求，对</w:t>
      </w:r>
      <w:r>
        <w:rPr>
          <w:rFonts w:ascii="仿宋_GB2312" w:hAnsi="仿宋" w:eastAsia="仿宋_GB2312"/>
          <w:color w:val="000000"/>
          <w:sz w:val="32"/>
          <w:szCs w:val="32"/>
        </w:rPr>
        <w:t>2018</w:t>
      </w:r>
      <w:r>
        <w:rPr>
          <w:rFonts w:hint="eastAsia" w:ascii="仿宋_GB2312" w:hAnsi="仿宋" w:eastAsia="仿宋_GB2312"/>
          <w:color w:val="000000"/>
          <w:sz w:val="32"/>
          <w:szCs w:val="32"/>
        </w:rPr>
        <w:t>年度我单位绩效预算执行情况全面开展了自评，自评结果为良好。我单位对预算绩效评价结果进行了认真分析，对管理中存在的问题，提出改进措施。预算绩效管理工作有效的减少了单位资金使用管理中的损失浪费现象，使资金达到了合理、优化配给。</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（三）重点项目绩效评价结果。</w:t>
      </w:r>
    </w:p>
    <w:p>
      <w:pPr>
        <w:autoSpaceDE w:val="0"/>
        <w:autoSpaceDN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Pr>
          <w:rFonts w:ascii="仿宋_GB2312" w:hAnsi="仿宋" w:eastAsia="仿宋_GB2312"/>
          <w:color w:val="000000"/>
          <w:sz w:val="32"/>
          <w:szCs w:val="32"/>
        </w:rPr>
        <w:t>95%</w:t>
      </w:r>
      <w:r>
        <w:rPr>
          <w:rFonts w:hint="eastAsia" w:ascii="仿宋_GB2312" w:hAnsi="仿宋" w:eastAsia="仿宋_GB2312"/>
          <w:color w:val="000000"/>
          <w:sz w:val="32"/>
          <w:szCs w:val="32"/>
        </w:rPr>
        <w:t>，绩效指标评价为优，综合利用率为</w:t>
      </w:r>
      <w:r>
        <w:rPr>
          <w:rFonts w:ascii="仿宋_GB2312" w:hAnsi="仿宋" w:eastAsia="仿宋_GB2312"/>
          <w:color w:val="000000"/>
          <w:sz w:val="32"/>
          <w:szCs w:val="32"/>
        </w:rPr>
        <w:t>95%</w:t>
      </w:r>
      <w:r>
        <w:rPr>
          <w:rFonts w:hint="eastAsia" w:ascii="仿宋_GB2312" w:hAnsi="仿宋" w:eastAsia="仿宋_GB2312"/>
          <w:color w:val="000000"/>
          <w:sz w:val="32"/>
          <w:szCs w:val="32"/>
        </w:rPr>
        <w:t>，绩效指标评价为优。</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144.19</w:t>
      </w:r>
      <w:r>
        <w:rPr>
          <w:rFonts w:hint="eastAsia" w:ascii="仿宋_GB2312" w:eastAsia="仿宋_GB2312" w:cs="DengXian-Regular"/>
          <w:sz w:val="32"/>
          <w:szCs w:val="32"/>
        </w:rPr>
        <w:t>万元，比年初预算数减少</w:t>
      </w:r>
      <w:r>
        <w:rPr>
          <w:rFonts w:ascii="仿宋_GB2312" w:eastAsia="仿宋_GB2312" w:cs="DengXian-Regular"/>
          <w:sz w:val="32"/>
          <w:szCs w:val="32"/>
        </w:rPr>
        <w:t>7.31</w:t>
      </w:r>
      <w:r>
        <w:rPr>
          <w:rFonts w:hint="eastAsia" w:ascii="仿宋_GB2312" w:eastAsia="仿宋_GB2312" w:cs="DengXian-Regular"/>
          <w:sz w:val="32"/>
          <w:szCs w:val="32"/>
        </w:rPr>
        <w:t>万元，降低</w:t>
      </w:r>
      <w:r>
        <w:rPr>
          <w:rFonts w:ascii="仿宋_GB2312" w:eastAsia="仿宋_GB2312" w:cs="DengXian-Regular"/>
          <w:sz w:val="32"/>
          <w:szCs w:val="32"/>
        </w:rPr>
        <w:t>5</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主要是严格控制经费开支。</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年度决算增加减少</w:t>
      </w:r>
      <w:r>
        <w:rPr>
          <w:rFonts w:eastAsia="仿宋_GB2312"/>
          <w:sz w:val="32"/>
          <w:szCs w:val="32"/>
        </w:rPr>
        <w:t>34.02</w:t>
      </w:r>
      <w:r>
        <w:rPr>
          <w:rFonts w:hint="eastAsia" w:eastAsia="仿宋_GB2312"/>
          <w:sz w:val="32"/>
          <w:szCs w:val="32"/>
        </w:rPr>
        <w:t>万元，降低</w:t>
      </w:r>
      <w:r>
        <w:rPr>
          <w:rFonts w:eastAsia="仿宋_GB2312"/>
          <w:sz w:val="32"/>
          <w:szCs w:val="32"/>
        </w:rPr>
        <w:t>19%</w:t>
      </w:r>
      <w:r>
        <w:rPr>
          <w:rFonts w:hint="eastAsia" w:eastAsia="仿宋_GB2312"/>
          <w:sz w:val="32"/>
          <w:szCs w:val="32"/>
        </w:rPr>
        <w:t>，主要是严格控制经费开支</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南孟镇</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64.83</w:t>
      </w:r>
      <w:r>
        <w:rPr>
          <w:rFonts w:hint="eastAsia" w:ascii="仿宋_GB2312" w:eastAsia="仿宋_GB2312" w:cs="DengXian-Regular"/>
          <w:sz w:val="32"/>
          <w:szCs w:val="32"/>
        </w:rPr>
        <w:t>万元，从采购类型来看，</w:t>
      </w:r>
      <w:r>
        <w:rPr>
          <w:rFonts w:hint="eastAsia" w:ascii="仿宋_GB2312" w:hAnsi="仿宋_GB2312" w:eastAsia="仿宋_GB2312" w:cs="仿宋_GB2312"/>
          <w:kern w:val="0"/>
          <w:sz w:val="32"/>
          <w:szCs w:val="32"/>
        </w:rPr>
        <w:t>政府采购服务支出</w:t>
      </w:r>
      <w:r>
        <w:rPr>
          <w:rFonts w:ascii="仿宋_GB2312" w:hAnsi="仿宋_GB2312" w:eastAsia="仿宋_GB2312" w:cs="仿宋_GB2312"/>
          <w:kern w:val="0"/>
          <w:sz w:val="32"/>
          <w:szCs w:val="32"/>
        </w:rPr>
        <w:t xml:space="preserve"> 64.83</w:t>
      </w:r>
      <w:r>
        <w:rPr>
          <w:rFonts w:hint="eastAsia" w:ascii="仿宋_GB2312" w:hAnsi="仿宋_GB2312" w:eastAsia="仿宋_GB2312" w:cs="仿宋_GB2312"/>
          <w:kern w:val="0"/>
          <w:sz w:val="32"/>
          <w:szCs w:val="32"/>
        </w:rPr>
        <w:t>万元。授予中小企业合同金</w:t>
      </w:r>
      <w:r>
        <w:rPr>
          <w:rFonts w:ascii="仿宋_GB2312" w:hAnsi="仿宋_GB2312" w:eastAsia="仿宋_GB2312" w:cs="仿宋_GB2312"/>
          <w:kern w:val="0"/>
          <w:sz w:val="32"/>
          <w:szCs w:val="32"/>
        </w:rPr>
        <w:t>64.83</w:t>
      </w:r>
      <w:r>
        <w:rPr>
          <w:rFonts w:hint="eastAsia" w:ascii="仿宋_GB2312" w:hAnsi="仿宋_GB2312" w:eastAsia="仿宋_GB2312" w:cs="仿宋_GB2312"/>
          <w:kern w:val="0"/>
          <w:sz w:val="32"/>
          <w:szCs w:val="32"/>
        </w:rPr>
        <w:t>万元，占政府采购支出总额的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，其中授予小微企业合同金额</w:t>
      </w:r>
      <w:r>
        <w:rPr>
          <w:rFonts w:ascii="仿宋_GB2312" w:hAnsi="仿宋_GB2312" w:eastAsia="仿宋_GB2312" w:cs="仿宋_GB2312"/>
          <w:kern w:val="0"/>
          <w:sz w:val="32"/>
          <w:szCs w:val="32"/>
        </w:rPr>
        <w:t>64.83</w:t>
      </w:r>
      <w:r>
        <w:rPr>
          <w:rFonts w:hint="eastAsia" w:ascii="仿宋_GB2312" w:hAnsi="仿宋_GB2312" w:eastAsia="仿宋_GB2312" w:cs="仿宋_GB2312"/>
          <w:kern w:val="0"/>
          <w:sz w:val="32"/>
          <w:szCs w:val="32"/>
        </w:rPr>
        <w:t>万元，占政府采购支出总额的</w:t>
      </w:r>
      <w:r>
        <w:rPr>
          <w:rFonts w:ascii="仿宋_GB2312" w:hAnsi="仿宋_GB2312" w:eastAsia="仿宋_GB2312" w:cs="仿宋_GB2312"/>
          <w:kern w:val="0"/>
          <w:sz w:val="32"/>
          <w:szCs w:val="32"/>
        </w:rPr>
        <w:t xml:space="preserve"> 100%.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日，南孟镇共有车辆</w:t>
      </w:r>
      <w:r>
        <w:rPr>
          <w:rFonts w:ascii="仿宋_GB2312" w:eastAsia="仿宋_GB2312" w:cs="DengXian-Regular"/>
          <w:sz w:val="32"/>
          <w:szCs w:val="32"/>
        </w:rPr>
        <w:t>3</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与上年持平。</w:t>
      </w:r>
      <w:r>
        <w:rPr>
          <w:rFonts w:hint="eastAsia" w:ascii="仿宋_GB2312" w:eastAsia="仿宋_GB2312" w:cs="DengXian-Regular"/>
          <w:sz w:val="32"/>
          <w:szCs w:val="32"/>
        </w:rPr>
        <w:t>其中，机要通信用车</w:t>
      </w:r>
      <w:r>
        <w:rPr>
          <w:rFonts w:ascii="仿宋_GB2312" w:eastAsia="仿宋_GB2312" w:cs="DengXian-Regular"/>
          <w:sz w:val="32"/>
          <w:szCs w:val="32"/>
        </w:rPr>
        <w:t>2</w:t>
      </w:r>
      <w:r>
        <w:rPr>
          <w:rFonts w:hint="eastAsia" w:ascii="仿宋_GB2312" w:eastAsia="仿宋_GB2312" w:cs="DengXian-Regular"/>
          <w:sz w:val="32"/>
          <w:szCs w:val="32"/>
        </w:rPr>
        <w:t>辆，应急保障用车</w:t>
      </w:r>
      <w:r>
        <w:rPr>
          <w:rFonts w:ascii="仿宋_GB2312" w:eastAsia="仿宋_GB2312" w:cs="DengXian-Regular"/>
          <w:sz w:val="32"/>
          <w:szCs w:val="32"/>
        </w:rPr>
        <w:t>1</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与上年持平。</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w:t>
      </w:r>
      <w:r>
        <w:rPr>
          <w:rFonts w:ascii="仿宋_GB2312" w:eastAsia="仿宋_GB2312" w:cs="DengXian-Regular"/>
          <w:sz w:val="32"/>
          <w:szCs w:val="32"/>
        </w:rPr>
        <w:t>,</w:t>
      </w:r>
      <w:r>
        <w:rPr>
          <w:rFonts w:hint="eastAsia" w:ascii="仿宋_GB2312" w:eastAsia="仿宋_GB2312" w:cs="DengXian-Regular"/>
          <w:sz w:val="32"/>
          <w:szCs w:val="32"/>
          <w:lang w:val="en-US" w:eastAsia="zh-CN"/>
        </w:rPr>
        <w:t>与上年持平。</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方正书宋_GBK">
    <w:altName w:val="宋体"/>
    <w:panose1 w:val="00000000000000000000"/>
    <w:charset w:val="86"/>
    <w:family w:val="script"/>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547BF"/>
    <w:rsid w:val="00067693"/>
    <w:rsid w:val="000838C3"/>
    <w:rsid w:val="00083D1E"/>
    <w:rsid w:val="000A3433"/>
    <w:rsid w:val="000B2446"/>
    <w:rsid w:val="000D7C65"/>
    <w:rsid w:val="000E2F81"/>
    <w:rsid w:val="00101F8D"/>
    <w:rsid w:val="00117946"/>
    <w:rsid w:val="00117E2C"/>
    <w:rsid w:val="00146C47"/>
    <w:rsid w:val="00152FB8"/>
    <w:rsid w:val="00175AD0"/>
    <w:rsid w:val="00176658"/>
    <w:rsid w:val="0018239E"/>
    <w:rsid w:val="00195C86"/>
    <w:rsid w:val="001A2746"/>
    <w:rsid w:val="001B3410"/>
    <w:rsid w:val="001B7503"/>
    <w:rsid w:val="001C030D"/>
    <w:rsid w:val="001C4A84"/>
    <w:rsid w:val="001E5902"/>
    <w:rsid w:val="00233705"/>
    <w:rsid w:val="00246D99"/>
    <w:rsid w:val="00257266"/>
    <w:rsid w:val="00262306"/>
    <w:rsid w:val="00275CA2"/>
    <w:rsid w:val="0029648B"/>
    <w:rsid w:val="002A65A5"/>
    <w:rsid w:val="002C04C4"/>
    <w:rsid w:val="002D08B0"/>
    <w:rsid w:val="002D1AE3"/>
    <w:rsid w:val="002F2ECE"/>
    <w:rsid w:val="00321BE2"/>
    <w:rsid w:val="00341C8F"/>
    <w:rsid w:val="0035463A"/>
    <w:rsid w:val="00391D9D"/>
    <w:rsid w:val="003B3008"/>
    <w:rsid w:val="003B6C51"/>
    <w:rsid w:val="003C1413"/>
    <w:rsid w:val="003C549F"/>
    <w:rsid w:val="003D5A16"/>
    <w:rsid w:val="003D7D55"/>
    <w:rsid w:val="003E7DB3"/>
    <w:rsid w:val="003F3365"/>
    <w:rsid w:val="004013B2"/>
    <w:rsid w:val="00431175"/>
    <w:rsid w:val="00434959"/>
    <w:rsid w:val="004374A3"/>
    <w:rsid w:val="00483D43"/>
    <w:rsid w:val="00493686"/>
    <w:rsid w:val="004B6E37"/>
    <w:rsid w:val="004C32BA"/>
    <w:rsid w:val="004C68EF"/>
    <w:rsid w:val="004F229C"/>
    <w:rsid w:val="0054553A"/>
    <w:rsid w:val="0055067E"/>
    <w:rsid w:val="00575922"/>
    <w:rsid w:val="0058531D"/>
    <w:rsid w:val="00586B17"/>
    <w:rsid w:val="005A3C0D"/>
    <w:rsid w:val="005A5B52"/>
    <w:rsid w:val="005A6C90"/>
    <w:rsid w:val="005B37E6"/>
    <w:rsid w:val="005E3FB0"/>
    <w:rsid w:val="005F4B66"/>
    <w:rsid w:val="005F5208"/>
    <w:rsid w:val="00615C31"/>
    <w:rsid w:val="00641318"/>
    <w:rsid w:val="0064405D"/>
    <w:rsid w:val="00695557"/>
    <w:rsid w:val="006C2282"/>
    <w:rsid w:val="006D4EA7"/>
    <w:rsid w:val="006E550B"/>
    <w:rsid w:val="006E5D48"/>
    <w:rsid w:val="0070012A"/>
    <w:rsid w:val="007040A7"/>
    <w:rsid w:val="0070664B"/>
    <w:rsid w:val="007071B8"/>
    <w:rsid w:val="007155C2"/>
    <w:rsid w:val="00724552"/>
    <w:rsid w:val="0073716B"/>
    <w:rsid w:val="007414DE"/>
    <w:rsid w:val="00743E7D"/>
    <w:rsid w:val="00760C0C"/>
    <w:rsid w:val="007905A9"/>
    <w:rsid w:val="00795B3B"/>
    <w:rsid w:val="007E072B"/>
    <w:rsid w:val="007E5500"/>
    <w:rsid w:val="007F055B"/>
    <w:rsid w:val="00801E4E"/>
    <w:rsid w:val="00811C2F"/>
    <w:rsid w:val="00833D46"/>
    <w:rsid w:val="00835FDA"/>
    <w:rsid w:val="00836215"/>
    <w:rsid w:val="00840A97"/>
    <w:rsid w:val="00872B02"/>
    <w:rsid w:val="00873292"/>
    <w:rsid w:val="008A640A"/>
    <w:rsid w:val="008A6A77"/>
    <w:rsid w:val="008C0149"/>
    <w:rsid w:val="008D5DED"/>
    <w:rsid w:val="008E25CA"/>
    <w:rsid w:val="008F34FC"/>
    <w:rsid w:val="0090598F"/>
    <w:rsid w:val="009062F4"/>
    <w:rsid w:val="00944CD7"/>
    <w:rsid w:val="00953EB1"/>
    <w:rsid w:val="00961190"/>
    <w:rsid w:val="009831B2"/>
    <w:rsid w:val="009A1ABE"/>
    <w:rsid w:val="009B0251"/>
    <w:rsid w:val="009B0757"/>
    <w:rsid w:val="009E21A4"/>
    <w:rsid w:val="009F22C6"/>
    <w:rsid w:val="00A00571"/>
    <w:rsid w:val="00A07E50"/>
    <w:rsid w:val="00A12C15"/>
    <w:rsid w:val="00A15397"/>
    <w:rsid w:val="00A35CE0"/>
    <w:rsid w:val="00A4462E"/>
    <w:rsid w:val="00A44AA4"/>
    <w:rsid w:val="00A61623"/>
    <w:rsid w:val="00A73C4E"/>
    <w:rsid w:val="00A84687"/>
    <w:rsid w:val="00AA0458"/>
    <w:rsid w:val="00AB0A0E"/>
    <w:rsid w:val="00AD3B6E"/>
    <w:rsid w:val="00AF339D"/>
    <w:rsid w:val="00AF6D31"/>
    <w:rsid w:val="00B1751F"/>
    <w:rsid w:val="00B50F96"/>
    <w:rsid w:val="00B56722"/>
    <w:rsid w:val="00B60570"/>
    <w:rsid w:val="00B67044"/>
    <w:rsid w:val="00B74D39"/>
    <w:rsid w:val="00B7699A"/>
    <w:rsid w:val="00B827C6"/>
    <w:rsid w:val="00B86A9E"/>
    <w:rsid w:val="00B91DA4"/>
    <w:rsid w:val="00BA7174"/>
    <w:rsid w:val="00BE7200"/>
    <w:rsid w:val="00BF222D"/>
    <w:rsid w:val="00C12630"/>
    <w:rsid w:val="00C34562"/>
    <w:rsid w:val="00C3774E"/>
    <w:rsid w:val="00C57456"/>
    <w:rsid w:val="00C65387"/>
    <w:rsid w:val="00C65EB0"/>
    <w:rsid w:val="00C74770"/>
    <w:rsid w:val="00C87FAB"/>
    <w:rsid w:val="00C91FF7"/>
    <w:rsid w:val="00C92D15"/>
    <w:rsid w:val="00C94E53"/>
    <w:rsid w:val="00CB3F0E"/>
    <w:rsid w:val="00CD0105"/>
    <w:rsid w:val="00CE3FC3"/>
    <w:rsid w:val="00D0048E"/>
    <w:rsid w:val="00D23E7A"/>
    <w:rsid w:val="00D32D15"/>
    <w:rsid w:val="00D56D8F"/>
    <w:rsid w:val="00D61063"/>
    <w:rsid w:val="00D64CB1"/>
    <w:rsid w:val="00DB35AF"/>
    <w:rsid w:val="00DD20AF"/>
    <w:rsid w:val="00DD72D7"/>
    <w:rsid w:val="00DE51B4"/>
    <w:rsid w:val="00DF1F6A"/>
    <w:rsid w:val="00DF5B88"/>
    <w:rsid w:val="00E0589E"/>
    <w:rsid w:val="00E0697F"/>
    <w:rsid w:val="00E205B0"/>
    <w:rsid w:val="00E241FA"/>
    <w:rsid w:val="00E2595E"/>
    <w:rsid w:val="00E35374"/>
    <w:rsid w:val="00E50C19"/>
    <w:rsid w:val="00E51942"/>
    <w:rsid w:val="00E620DE"/>
    <w:rsid w:val="00E64655"/>
    <w:rsid w:val="00E73081"/>
    <w:rsid w:val="00E856C9"/>
    <w:rsid w:val="00EA3C70"/>
    <w:rsid w:val="00EA4F68"/>
    <w:rsid w:val="00EB6A8B"/>
    <w:rsid w:val="00EC6814"/>
    <w:rsid w:val="00ED411D"/>
    <w:rsid w:val="00EE1867"/>
    <w:rsid w:val="00EF38C6"/>
    <w:rsid w:val="00F36CC9"/>
    <w:rsid w:val="00F60509"/>
    <w:rsid w:val="00F679C7"/>
    <w:rsid w:val="00F74606"/>
    <w:rsid w:val="00F7711A"/>
    <w:rsid w:val="00F80C72"/>
    <w:rsid w:val="00FA0D58"/>
    <w:rsid w:val="00FA1580"/>
    <w:rsid w:val="00FA56F4"/>
    <w:rsid w:val="00FB4EDA"/>
    <w:rsid w:val="00FB7321"/>
    <w:rsid w:val="00FC2387"/>
    <w:rsid w:val="00FD3BD5"/>
    <w:rsid w:val="00FE3DC8"/>
    <w:rsid w:val="013F747B"/>
    <w:rsid w:val="04073F84"/>
    <w:rsid w:val="0B60750A"/>
    <w:rsid w:val="10686488"/>
    <w:rsid w:val="10DF728A"/>
    <w:rsid w:val="1264200E"/>
    <w:rsid w:val="141C5B77"/>
    <w:rsid w:val="169A63B9"/>
    <w:rsid w:val="18D8339D"/>
    <w:rsid w:val="1A21388F"/>
    <w:rsid w:val="1A570D2F"/>
    <w:rsid w:val="1E1E2143"/>
    <w:rsid w:val="28FB0B8D"/>
    <w:rsid w:val="2D2B7942"/>
    <w:rsid w:val="2D46481D"/>
    <w:rsid w:val="2E733B28"/>
    <w:rsid w:val="31333A7D"/>
    <w:rsid w:val="31852B5A"/>
    <w:rsid w:val="32D01238"/>
    <w:rsid w:val="3DFC59A8"/>
    <w:rsid w:val="3ECF245E"/>
    <w:rsid w:val="3FB96314"/>
    <w:rsid w:val="498D756D"/>
    <w:rsid w:val="53A44FAF"/>
    <w:rsid w:val="56AB6D30"/>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ascii="Cambria" w:hAnsi="Cambria" w:eastAsia="黑体"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1082</Words>
  <Characters>6168</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2021-05-26T07:24:24Z</dcterms:modified>
  <dc:subject>石家庄市xxx部门</dc:subject>
  <dc:title>2017年度部门决算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